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C8" w:rsidRPr="004D40C8" w:rsidRDefault="004D40C8" w:rsidP="00B13030">
      <w:pPr>
        <w:pStyle w:val="1"/>
        <w:numPr>
          <w:ilvl w:val="0"/>
          <w:numId w:val="4"/>
        </w:numPr>
        <w:rPr>
          <w:b/>
        </w:rPr>
      </w:pPr>
      <w:bookmarkStart w:id="0" w:name="_Toc460249644"/>
      <w:r w:rsidRPr="004D40C8">
        <w:rPr>
          <w:rFonts w:hint="eastAsia"/>
          <w:b/>
        </w:rPr>
        <w:t>重要な会計方針</w:t>
      </w:r>
      <w:bookmarkEnd w:id="0"/>
    </w:p>
    <w:p w:rsidR="004D40C8" w:rsidRDefault="004D40C8" w:rsidP="002362CE">
      <w:pPr>
        <w:pStyle w:val="2"/>
        <w:numPr>
          <w:ilvl w:val="0"/>
          <w:numId w:val="8"/>
        </w:numPr>
      </w:pPr>
      <w:bookmarkStart w:id="1" w:name="_Toc460249645"/>
      <w:r>
        <w:rPr>
          <w:rFonts w:hint="eastAsia"/>
        </w:rPr>
        <w:t>有形固定資産等の評価基準及び評価方法</w:t>
      </w:r>
      <w:bookmarkEnd w:id="1"/>
    </w:p>
    <w:p w:rsidR="003A5980" w:rsidRDefault="003A5980" w:rsidP="003A5980">
      <w:pPr>
        <w:ind w:leftChars="100" w:left="210" w:firstLineChars="100" w:firstLine="210"/>
      </w:pPr>
      <w:r>
        <w:rPr>
          <w:rFonts w:hint="eastAsia"/>
        </w:rPr>
        <w:t>開始時における有形固定資産等の評価は原則として取得原価とし、取得原価が不明なものは原則として再調達原価としております。</w:t>
      </w:r>
    </w:p>
    <w:p w:rsidR="004D40C8" w:rsidRDefault="003A5980" w:rsidP="003A5980">
      <w:pPr>
        <w:ind w:leftChars="100" w:left="210" w:firstLineChars="100" w:firstLine="210"/>
      </w:pPr>
      <w:r>
        <w:rPr>
          <w:rFonts w:hint="eastAsia"/>
        </w:rPr>
        <w:t>また開始後については、原則として取得原価とし再調達原価での評価は行わないこととしております。</w:t>
      </w:r>
    </w:p>
    <w:p w:rsidR="003A5980" w:rsidRPr="003A5980" w:rsidRDefault="003A5980" w:rsidP="003A5980"/>
    <w:p w:rsidR="00D12695" w:rsidRPr="00D334D5" w:rsidRDefault="00D12695" w:rsidP="00D12695">
      <w:pPr>
        <w:pStyle w:val="a3"/>
        <w:numPr>
          <w:ilvl w:val="0"/>
          <w:numId w:val="8"/>
        </w:numPr>
        <w:ind w:leftChars="0"/>
        <w:outlineLvl w:val="1"/>
        <w:rPr>
          <w:rFonts w:asciiTheme="majorEastAsia" w:eastAsiaTheme="majorEastAsia" w:hAnsiTheme="majorEastAsia"/>
        </w:rPr>
      </w:pPr>
      <w:r w:rsidRPr="00D334D5">
        <w:rPr>
          <w:rFonts w:asciiTheme="majorEastAsia" w:eastAsiaTheme="majorEastAsia" w:hAnsiTheme="majorEastAsia" w:hint="eastAsia"/>
        </w:rPr>
        <w:t>有価証券等の評価基準及び評価方法</w:t>
      </w:r>
    </w:p>
    <w:p w:rsidR="00D12695" w:rsidRDefault="00C106D6" w:rsidP="003A5980">
      <w:pPr>
        <w:ind w:firstLineChars="200" w:firstLine="420"/>
      </w:pPr>
      <w:r>
        <w:rPr>
          <w:rFonts w:hint="eastAsia"/>
        </w:rPr>
        <w:t>①</w:t>
      </w:r>
      <w:r w:rsidR="00BE3EA0">
        <w:rPr>
          <w:rFonts w:hint="eastAsia"/>
        </w:rPr>
        <w:t>市場価格のある有価証券等</w:t>
      </w:r>
    </w:p>
    <w:p w:rsidR="00D12695" w:rsidRDefault="00D12695" w:rsidP="003A5980">
      <w:pPr>
        <w:ind w:firstLineChars="300" w:firstLine="630"/>
      </w:pPr>
      <w:r>
        <w:rPr>
          <w:rFonts w:hint="eastAsia"/>
        </w:rPr>
        <w:t>会計年度末における市場価格をもって</w:t>
      </w:r>
      <w:r w:rsidR="00563876">
        <w:rPr>
          <w:rFonts w:hint="eastAsia"/>
        </w:rPr>
        <w:t>連結</w:t>
      </w:r>
      <w:r>
        <w:rPr>
          <w:rFonts w:hint="eastAsia"/>
        </w:rPr>
        <w:t>貸借対照表価額としております。</w:t>
      </w:r>
      <w:r>
        <w:rPr>
          <w:rFonts w:hint="eastAsia"/>
        </w:rPr>
        <w:t xml:space="preserve"> </w:t>
      </w:r>
    </w:p>
    <w:p w:rsidR="00D12695" w:rsidRDefault="00C106D6" w:rsidP="003A5980">
      <w:pPr>
        <w:ind w:firstLineChars="200" w:firstLine="420"/>
      </w:pPr>
      <w:r>
        <w:rPr>
          <w:rFonts w:hint="eastAsia"/>
        </w:rPr>
        <w:t>②</w:t>
      </w:r>
      <w:r w:rsidR="00BE3EA0">
        <w:rPr>
          <w:rFonts w:hint="eastAsia"/>
        </w:rPr>
        <w:t>市場価格がない有価証券等</w:t>
      </w:r>
    </w:p>
    <w:p w:rsidR="00D12695" w:rsidRDefault="00BE3EA0" w:rsidP="003A5980">
      <w:pPr>
        <w:ind w:firstLineChars="300" w:firstLine="630"/>
      </w:pPr>
      <w:r>
        <w:rPr>
          <w:rFonts w:hint="eastAsia"/>
        </w:rPr>
        <w:t>取得原価</w:t>
      </w:r>
      <w:r w:rsidR="00D12695">
        <w:rPr>
          <w:rFonts w:hint="eastAsia"/>
        </w:rPr>
        <w:t>をもって</w:t>
      </w:r>
      <w:r w:rsidR="00563876">
        <w:rPr>
          <w:rFonts w:hint="eastAsia"/>
        </w:rPr>
        <w:t>連結</w:t>
      </w:r>
      <w:r w:rsidR="00D12695">
        <w:rPr>
          <w:rFonts w:hint="eastAsia"/>
        </w:rPr>
        <w:t>貸借対照表価額としております。</w:t>
      </w:r>
    </w:p>
    <w:p w:rsidR="00D12695" w:rsidRDefault="00D12695" w:rsidP="003A5980">
      <w:pPr>
        <w:ind w:leftChars="200" w:left="420"/>
      </w:pPr>
      <w:r>
        <w:rPr>
          <w:rFonts w:hint="eastAsia"/>
        </w:rPr>
        <w:t xml:space="preserve">　ただし、市場価格のないものについて、</w:t>
      </w:r>
      <w:r w:rsidR="000804CF">
        <w:rPr>
          <w:rFonts w:hint="eastAsia"/>
        </w:rPr>
        <w:t>実質価額</w:t>
      </w:r>
      <w:r>
        <w:rPr>
          <w:rFonts w:hint="eastAsia"/>
        </w:rPr>
        <w:t>が著しく低下した場合には、相当の減額を行うこととしております。</w:t>
      </w:r>
    </w:p>
    <w:p w:rsidR="00D12695" w:rsidRDefault="00D12695" w:rsidP="003A5980">
      <w:pPr>
        <w:ind w:leftChars="200" w:left="420"/>
      </w:pPr>
      <w:r>
        <w:rPr>
          <w:rFonts w:hint="eastAsia"/>
        </w:rPr>
        <w:t xml:space="preserve">　なお、</w:t>
      </w:r>
      <w:r w:rsidR="000804CF">
        <w:rPr>
          <w:rFonts w:hint="eastAsia"/>
        </w:rPr>
        <w:t>実質価額</w:t>
      </w:r>
      <w:r>
        <w:rPr>
          <w:rFonts w:hint="eastAsia"/>
        </w:rPr>
        <w:t>の低下割合が</w:t>
      </w:r>
      <w:r>
        <w:rPr>
          <w:rFonts w:hint="eastAsia"/>
        </w:rPr>
        <w:t>30%</w:t>
      </w:r>
      <w:r>
        <w:rPr>
          <w:rFonts w:hint="eastAsia"/>
        </w:rPr>
        <w:t>以上である場合には、「著しく低下した場合」に該当するものとしております。</w:t>
      </w:r>
    </w:p>
    <w:p w:rsidR="004D40C8" w:rsidRPr="00D12695" w:rsidRDefault="004D40C8" w:rsidP="004D40C8"/>
    <w:p w:rsidR="004D40C8" w:rsidRDefault="004D40C8" w:rsidP="00D12695">
      <w:pPr>
        <w:pStyle w:val="2"/>
        <w:numPr>
          <w:ilvl w:val="0"/>
          <w:numId w:val="8"/>
        </w:numPr>
      </w:pPr>
      <w:bookmarkStart w:id="2" w:name="_Toc460249646"/>
      <w:r>
        <w:rPr>
          <w:rFonts w:hint="eastAsia"/>
        </w:rPr>
        <w:t>有形固定資産等の減価償却の方法</w:t>
      </w:r>
      <w:bookmarkEnd w:id="2"/>
    </w:p>
    <w:p w:rsidR="004D40C8" w:rsidRDefault="00C106D6" w:rsidP="003A5980">
      <w:pPr>
        <w:ind w:firstLineChars="200" w:firstLine="420"/>
      </w:pPr>
      <w:r>
        <w:rPr>
          <w:rFonts w:hint="eastAsia"/>
        </w:rPr>
        <w:t>①</w:t>
      </w:r>
      <w:r w:rsidR="004D40C8">
        <w:rPr>
          <w:rFonts w:hint="eastAsia"/>
        </w:rPr>
        <w:t>有形固定資産（事業用資産、インフラ資産）</w:t>
      </w:r>
      <w:r w:rsidR="004D40C8">
        <w:rPr>
          <w:rFonts w:hint="eastAsia"/>
        </w:rPr>
        <w:t xml:space="preserve"> </w:t>
      </w:r>
    </w:p>
    <w:p w:rsidR="004D40C8" w:rsidRDefault="004D40C8" w:rsidP="003A5980">
      <w:pPr>
        <w:ind w:firstLineChars="200" w:firstLine="420"/>
      </w:pPr>
      <w:r>
        <w:rPr>
          <w:rFonts w:hint="eastAsia"/>
        </w:rPr>
        <w:t xml:space="preserve">　定額法を採用しております。</w:t>
      </w:r>
    </w:p>
    <w:p w:rsidR="004D40C8" w:rsidRDefault="00C106D6" w:rsidP="003A5980">
      <w:pPr>
        <w:ind w:firstLineChars="200" w:firstLine="420"/>
      </w:pPr>
      <w:r>
        <w:rPr>
          <w:rFonts w:hint="eastAsia"/>
        </w:rPr>
        <w:t>②</w:t>
      </w:r>
      <w:r w:rsidR="004D40C8">
        <w:rPr>
          <w:rFonts w:hint="eastAsia"/>
        </w:rPr>
        <w:t>無形固定資産</w:t>
      </w:r>
    </w:p>
    <w:p w:rsidR="004D40C8" w:rsidRDefault="004D40C8" w:rsidP="003A5980">
      <w:pPr>
        <w:ind w:firstLineChars="200" w:firstLine="420"/>
      </w:pPr>
      <w:r>
        <w:rPr>
          <w:rFonts w:hint="eastAsia"/>
        </w:rPr>
        <w:t xml:space="preserve">　定額法を採用しております。</w:t>
      </w:r>
    </w:p>
    <w:p w:rsidR="000B0468" w:rsidRPr="00C106D6" w:rsidRDefault="000B0468" w:rsidP="004D40C8"/>
    <w:p w:rsidR="004D40C8" w:rsidRDefault="004D40C8" w:rsidP="00D12695">
      <w:pPr>
        <w:pStyle w:val="2"/>
        <w:numPr>
          <w:ilvl w:val="0"/>
          <w:numId w:val="8"/>
        </w:numPr>
      </w:pPr>
      <w:bookmarkStart w:id="3" w:name="_Toc460249647"/>
      <w:r>
        <w:rPr>
          <w:rFonts w:hint="eastAsia"/>
        </w:rPr>
        <w:t>引当金の計上基準及び算定方法</w:t>
      </w:r>
      <w:bookmarkEnd w:id="3"/>
    </w:p>
    <w:p w:rsidR="004D40C8" w:rsidRDefault="004D40C8" w:rsidP="00C950F2">
      <w:pPr>
        <w:pStyle w:val="a3"/>
        <w:numPr>
          <w:ilvl w:val="1"/>
          <w:numId w:val="8"/>
        </w:numPr>
        <w:ind w:leftChars="0"/>
      </w:pPr>
      <w:r>
        <w:rPr>
          <w:rFonts w:hint="eastAsia"/>
        </w:rPr>
        <w:t>徴収不能引当金</w:t>
      </w:r>
    </w:p>
    <w:p w:rsidR="004D40C8" w:rsidRDefault="004D40C8" w:rsidP="003A5980">
      <w:pPr>
        <w:ind w:firstLineChars="200" w:firstLine="420"/>
      </w:pPr>
      <w:r>
        <w:rPr>
          <w:rFonts w:hint="eastAsia"/>
        </w:rPr>
        <w:t xml:space="preserve">　過去</w:t>
      </w:r>
      <w:r w:rsidR="00C950F2">
        <w:rPr>
          <w:rFonts w:hint="eastAsia"/>
        </w:rPr>
        <w:t>5</w:t>
      </w:r>
      <w:r>
        <w:rPr>
          <w:rFonts w:hint="eastAsia"/>
        </w:rPr>
        <w:t>年間の平均不納欠損率により計上しております。</w:t>
      </w:r>
    </w:p>
    <w:p w:rsidR="004D40C8" w:rsidRDefault="00C106D6" w:rsidP="003A5980">
      <w:pPr>
        <w:ind w:firstLineChars="200" w:firstLine="420"/>
      </w:pPr>
      <w:r>
        <w:rPr>
          <w:rFonts w:hint="eastAsia"/>
        </w:rPr>
        <w:t>②</w:t>
      </w:r>
      <w:r w:rsidR="004D40C8">
        <w:rPr>
          <w:rFonts w:hint="eastAsia"/>
        </w:rPr>
        <w:t>賞与引当金</w:t>
      </w:r>
    </w:p>
    <w:p w:rsidR="004D40C8" w:rsidRDefault="004D40C8" w:rsidP="003A5980">
      <w:pPr>
        <w:ind w:leftChars="200" w:left="420"/>
      </w:pPr>
      <w:r>
        <w:rPr>
          <w:rFonts w:hint="eastAsia"/>
        </w:rPr>
        <w:t xml:space="preserve">　翌年度</w:t>
      </w:r>
      <w:r>
        <w:rPr>
          <w:rFonts w:hint="eastAsia"/>
        </w:rPr>
        <w:t>6</w:t>
      </w:r>
      <w:r>
        <w:rPr>
          <w:rFonts w:hint="eastAsia"/>
        </w:rPr>
        <w:t>月支給予定の期末・勤勉手当のうち、全支給対象期間に対する本年度の支給対象期間の割合を乗じた額を計上しております。</w:t>
      </w:r>
    </w:p>
    <w:p w:rsidR="004D40C8" w:rsidRDefault="00C106D6" w:rsidP="003A5980">
      <w:pPr>
        <w:ind w:firstLineChars="200" w:firstLine="420"/>
      </w:pPr>
      <w:r>
        <w:rPr>
          <w:rFonts w:hint="eastAsia"/>
        </w:rPr>
        <w:t>③</w:t>
      </w:r>
      <w:r w:rsidR="004D40C8">
        <w:rPr>
          <w:rFonts w:hint="eastAsia"/>
        </w:rPr>
        <w:t>退職給付引当金</w:t>
      </w:r>
    </w:p>
    <w:p w:rsidR="004D40C8" w:rsidRDefault="004D40C8" w:rsidP="003A5980">
      <w:pPr>
        <w:ind w:leftChars="200" w:left="420"/>
      </w:pPr>
      <w:r>
        <w:rPr>
          <w:rFonts w:hint="eastAsia"/>
        </w:rPr>
        <w:t xml:space="preserve">　</w:t>
      </w:r>
      <w:r w:rsidR="00C106D6">
        <w:rPr>
          <w:rFonts w:hint="eastAsia"/>
        </w:rPr>
        <w:t>本年度末に特別職を含む全職員（本年度末退職者を除く）が普通退職した場合の退職手当要支給額を計上しております。</w:t>
      </w:r>
    </w:p>
    <w:p w:rsidR="000B0468" w:rsidRDefault="000B0468" w:rsidP="004D40C8"/>
    <w:p w:rsidR="00B82015" w:rsidRDefault="00B82015" w:rsidP="004D40C8"/>
    <w:p w:rsidR="00B82015" w:rsidRDefault="00B82015" w:rsidP="004D40C8"/>
    <w:p w:rsidR="004D40C8" w:rsidRDefault="004D40C8" w:rsidP="00D12695">
      <w:pPr>
        <w:pStyle w:val="2"/>
        <w:numPr>
          <w:ilvl w:val="0"/>
          <w:numId w:val="8"/>
        </w:numPr>
      </w:pPr>
      <w:bookmarkStart w:id="4" w:name="_Toc460249648"/>
      <w:r>
        <w:rPr>
          <w:rFonts w:hint="eastAsia"/>
        </w:rPr>
        <w:lastRenderedPageBreak/>
        <w:t>リース取引の処理方法</w:t>
      </w:r>
      <w:bookmarkEnd w:id="4"/>
    </w:p>
    <w:p w:rsidR="004D40C8" w:rsidRDefault="004D40C8" w:rsidP="004D40C8">
      <w:r>
        <w:rPr>
          <w:rFonts w:hint="eastAsia"/>
        </w:rPr>
        <w:t xml:space="preserve">　ファイナンス・リース取引については、通常の売買取引に係る方法に準じて会計処理を行っております</w:t>
      </w:r>
      <w:r w:rsidR="00C106D6">
        <w:rPr>
          <w:rFonts w:hint="eastAsia"/>
        </w:rPr>
        <w:t>。</w:t>
      </w:r>
      <w:r w:rsidR="00FD651E" w:rsidRPr="000E6145">
        <w:rPr>
          <w:rFonts w:hint="eastAsia"/>
        </w:rPr>
        <w:t>少額リース資産及び短期のリース取引には簡便的な取扱</w:t>
      </w:r>
      <w:r w:rsidR="00FD651E">
        <w:rPr>
          <w:rFonts w:hint="eastAsia"/>
        </w:rPr>
        <w:t>いをし、通常の賃貸借に係る方法に準じて会計処理を行っております</w:t>
      </w:r>
      <w:r w:rsidR="00FD651E" w:rsidRPr="000E6145">
        <w:rPr>
          <w:rFonts w:hint="eastAsia"/>
        </w:rPr>
        <w:t>。</w:t>
      </w:r>
    </w:p>
    <w:p w:rsidR="004D40C8" w:rsidRDefault="004D40C8" w:rsidP="004D40C8"/>
    <w:p w:rsidR="004D40C8" w:rsidRDefault="00563876" w:rsidP="00D12695">
      <w:pPr>
        <w:pStyle w:val="2"/>
        <w:numPr>
          <w:ilvl w:val="0"/>
          <w:numId w:val="8"/>
        </w:numPr>
      </w:pPr>
      <w:bookmarkStart w:id="5" w:name="_Toc460249649"/>
      <w:r>
        <w:rPr>
          <w:rFonts w:hint="eastAsia"/>
        </w:rPr>
        <w:t>連結</w:t>
      </w:r>
      <w:r w:rsidR="004D40C8">
        <w:rPr>
          <w:rFonts w:hint="eastAsia"/>
        </w:rPr>
        <w:t>資金収支計算書における資金の範囲</w:t>
      </w:r>
      <w:bookmarkEnd w:id="5"/>
    </w:p>
    <w:p w:rsidR="004D40C8" w:rsidRDefault="004D40C8" w:rsidP="004D40C8">
      <w:r>
        <w:rPr>
          <w:rFonts w:hint="eastAsia"/>
        </w:rPr>
        <w:t xml:space="preserve">　現金（手許現金及び要求払預金）及び現金同等物（</w:t>
      </w:r>
      <w:r>
        <w:rPr>
          <w:rFonts w:hint="eastAsia"/>
        </w:rPr>
        <w:t>3</w:t>
      </w:r>
      <w:r>
        <w:rPr>
          <w:rFonts w:hint="eastAsia"/>
        </w:rPr>
        <w:t>ヶ月以内の短期投資等）を資金の範囲としております。</w:t>
      </w:r>
    </w:p>
    <w:p w:rsidR="004D40C8" w:rsidRDefault="004D40C8" w:rsidP="004D40C8">
      <w:r>
        <w:rPr>
          <w:rFonts w:hint="eastAsia"/>
        </w:rPr>
        <w:t xml:space="preserve">　このうち現金同等物は、短期投資の他、出納整理期間中の取引により発生する資金の受払いも含んでおります。</w:t>
      </w:r>
    </w:p>
    <w:p w:rsidR="00563876" w:rsidRDefault="00563876" w:rsidP="004D40C8"/>
    <w:p w:rsidR="00563876" w:rsidRDefault="00563876" w:rsidP="00563876">
      <w:pPr>
        <w:pStyle w:val="2"/>
        <w:numPr>
          <w:ilvl w:val="0"/>
          <w:numId w:val="8"/>
        </w:numPr>
      </w:pPr>
      <w:r>
        <w:rPr>
          <w:rFonts w:hint="eastAsia"/>
        </w:rPr>
        <w:t>採用した消費税等の会計処理</w:t>
      </w:r>
    </w:p>
    <w:p w:rsidR="00563876" w:rsidRDefault="00563876" w:rsidP="00563876">
      <w:r>
        <w:rPr>
          <w:rFonts w:hint="eastAsia"/>
        </w:rPr>
        <w:t xml:space="preserve">　税込方式によっております。</w:t>
      </w:r>
      <w:r w:rsidR="004B0911">
        <w:rPr>
          <w:rFonts w:hint="eastAsia"/>
        </w:rPr>
        <w:t>ただし、水道事業会計は税抜方式によっております。</w:t>
      </w:r>
    </w:p>
    <w:p w:rsidR="00563876" w:rsidRDefault="00563876" w:rsidP="00563876"/>
    <w:p w:rsidR="004D40C8" w:rsidRPr="004D40C8" w:rsidRDefault="004D40C8" w:rsidP="002362CE">
      <w:pPr>
        <w:pStyle w:val="1"/>
        <w:numPr>
          <w:ilvl w:val="0"/>
          <w:numId w:val="4"/>
        </w:numPr>
        <w:rPr>
          <w:b/>
        </w:rPr>
      </w:pPr>
      <w:bookmarkStart w:id="6" w:name="_Toc460249657"/>
      <w:r w:rsidRPr="004D40C8">
        <w:rPr>
          <w:rFonts w:hint="eastAsia"/>
          <w:b/>
        </w:rPr>
        <w:t>追加情報</w:t>
      </w:r>
      <w:bookmarkEnd w:id="6"/>
    </w:p>
    <w:p w:rsidR="00581DA2" w:rsidRPr="003C165C" w:rsidRDefault="00581DA2" w:rsidP="002D39EF">
      <w:bookmarkStart w:id="7" w:name="_Toc460249661"/>
    </w:p>
    <w:p w:rsidR="00804C43" w:rsidRDefault="00373A55" w:rsidP="00804C43">
      <w:pPr>
        <w:pStyle w:val="2"/>
        <w:numPr>
          <w:ilvl w:val="0"/>
          <w:numId w:val="24"/>
        </w:numPr>
      </w:pPr>
      <w:r w:rsidRPr="003C165C">
        <w:rPr>
          <w:rFonts w:hint="eastAsia"/>
        </w:rPr>
        <w:t>連結対象団体（</w:t>
      </w:r>
      <w:r w:rsidR="00A47B70">
        <w:rPr>
          <w:rFonts w:hint="eastAsia"/>
        </w:rPr>
        <w:t>連結</w:t>
      </w:r>
      <w:r w:rsidRPr="003C165C">
        <w:rPr>
          <w:rFonts w:hint="eastAsia"/>
        </w:rPr>
        <w:t>会計）の一覧</w:t>
      </w:r>
    </w:p>
    <w:tbl>
      <w:tblPr>
        <w:tblStyle w:val="a9"/>
        <w:tblW w:w="0" w:type="auto"/>
        <w:tblLook w:val="04A0" w:firstRow="1" w:lastRow="0" w:firstColumn="1" w:lastColumn="0" w:noHBand="0" w:noVBand="1"/>
      </w:tblPr>
      <w:tblGrid>
        <w:gridCol w:w="2802"/>
        <w:gridCol w:w="2409"/>
        <w:gridCol w:w="1533"/>
        <w:gridCol w:w="1958"/>
      </w:tblGrid>
      <w:tr w:rsidR="00804C43" w:rsidTr="00A6143A">
        <w:tc>
          <w:tcPr>
            <w:tcW w:w="2802" w:type="dxa"/>
          </w:tcPr>
          <w:p w:rsidR="00804C43" w:rsidRPr="00AD0DE3" w:rsidRDefault="00804C43" w:rsidP="001D0CA9">
            <w:pPr>
              <w:jc w:val="center"/>
            </w:pPr>
            <w:r w:rsidRPr="00AD0DE3">
              <w:rPr>
                <w:rFonts w:hint="eastAsia"/>
              </w:rPr>
              <w:t>団体</w:t>
            </w:r>
            <w:r>
              <w:rPr>
                <w:rFonts w:hint="eastAsia"/>
              </w:rPr>
              <w:t>（会計）名</w:t>
            </w:r>
          </w:p>
        </w:tc>
        <w:tc>
          <w:tcPr>
            <w:tcW w:w="2409" w:type="dxa"/>
          </w:tcPr>
          <w:p w:rsidR="00804C43" w:rsidRPr="00AD0DE3" w:rsidRDefault="00804C43" w:rsidP="001D0CA9">
            <w:pPr>
              <w:jc w:val="center"/>
            </w:pPr>
            <w:r>
              <w:rPr>
                <w:rFonts w:hint="eastAsia"/>
              </w:rPr>
              <w:t>区分</w:t>
            </w:r>
          </w:p>
        </w:tc>
        <w:tc>
          <w:tcPr>
            <w:tcW w:w="1533" w:type="dxa"/>
          </w:tcPr>
          <w:p w:rsidR="00804C43" w:rsidRPr="00AD0DE3" w:rsidRDefault="00804C43" w:rsidP="001D0CA9">
            <w:pPr>
              <w:jc w:val="center"/>
            </w:pPr>
            <w:r>
              <w:rPr>
                <w:rFonts w:hint="eastAsia"/>
              </w:rPr>
              <w:t>連結の方法</w:t>
            </w:r>
          </w:p>
        </w:tc>
        <w:tc>
          <w:tcPr>
            <w:tcW w:w="1958" w:type="dxa"/>
          </w:tcPr>
          <w:p w:rsidR="00804C43" w:rsidRPr="00AD0DE3" w:rsidRDefault="00804C43" w:rsidP="001D0CA9">
            <w:pPr>
              <w:jc w:val="center"/>
            </w:pPr>
            <w:r>
              <w:rPr>
                <w:rFonts w:hint="eastAsia"/>
              </w:rPr>
              <w:t>比例連結割合</w:t>
            </w:r>
          </w:p>
        </w:tc>
      </w:tr>
      <w:tr w:rsidR="00D93FC3" w:rsidTr="008A7606">
        <w:tc>
          <w:tcPr>
            <w:tcW w:w="2802" w:type="dxa"/>
          </w:tcPr>
          <w:p w:rsidR="00D93FC3" w:rsidRPr="0067775D" w:rsidRDefault="00D93FC3" w:rsidP="00246F3B">
            <w:r w:rsidRPr="0067775D">
              <w:rPr>
                <w:rFonts w:hint="eastAsia"/>
              </w:rPr>
              <w:t>神奈川県市町村職員退職手当組合</w:t>
            </w:r>
          </w:p>
        </w:tc>
        <w:tc>
          <w:tcPr>
            <w:tcW w:w="2409" w:type="dxa"/>
            <w:vAlign w:val="center"/>
          </w:tcPr>
          <w:p w:rsidR="00D93FC3" w:rsidRPr="00145085" w:rsidRDefault="00D93FC3" w:rsidP="00145085">
            <w:pPr>
              <w:jc w:val="center"/>
              <w:rPr>
                <w:rFonts w:asciiTheme="minorEastAsia" w:hAnsiTheme="minorEastAsia"/>
              </w:rPr>
            </w:pPr>
            <w:r w:rsidRPr="00145085">
              <w:rPr>
                <w:rFonts w:asciiTheme="minorEastAsia" w:hAnsiTheme="minorEastAsia" w:hint="eastAsia"/>
                <w:w w:val="90"/>
                <w:sz w:val="20"/>
                <w:szCs w:val="20"/>
              </w:rPr>
              <w:t>一部事務組合・広域連合</w:t>
            </w:r>
          </w:p>
        </w:tc>
        <w:tc>
          <w:tcPr>
            <w:tcW w:w="1533" w:type="dxa"/>
            <w:vAlign w:val="center"/>
          </w:tcPr>
          <w:p w:rsidR="00D93FC3" w:rsidRPr="00145085" w:rsidRDefault="00D93FC3" w:rsidP="00145085">
            <w:pPr>
              <w:jc w:val="center"/>
              <w:rPr>
                <w:rFonts w:asciiTheme="minorEastAsia" w:hAnsiTheme="minorEastAsia"/>
              </w:rPr>
            </w:pPr>
            <w:r>
              <w:rPr>
                <w:rFonts w:asciiTheme="minorEastAsia" w:hAnsiTheme="minorEastAsia" w:hint="eastAsia"/>
              </w:rPr>
              <w:t>みなし連結</w:t>
            </w:r>
          </w:p>
        </w:tc>
        <w:tc>
          <w:tcPr>
            <w:tcW w:w="1958" w:type="dxa"/>
            <w:vAlign w:val="center"/>
          </w:tcPr>
          <w:p w:rsidR="00D93FC3" w:rsidRPr="00AD0DE3" w:rsidRDefault="00D93FC3" w:rsidP="00145085">
            <w:pPr>
              <w:jc w:val="center"/>
            </w:pPr>
          </w:p>
        </w:tc>
      </w:tr>
      <w:tr w:rsidR="00D93FC3" w:rsidTr="008A7606">
        <w:tc>
          <w:tcPr>
            <w:tcW w:w="2802" w:type="dxa"/>
          </w:tcPr>
          <w:p w:rsidR="00D93FC3" w:rsidRPr="0067775D" w:rsidRDefault="00D93FC3" w:rsidP="00D93FC3">
            <w:r w:rsidRPr="0067775D">
              <w:rPr>
                <w:rFonts w:hint="eastAsia"/>
              </w:rPr>
              <w:t>神奈川県町村情報システム共同事業組合</w:t>
            </w:r>
          </w:p>
        </w:tc>
        <w:tc>
          <w:tcPr>
            <w:tcW w:w="2409" w:type="dxa"/>
            <w:vAlign w:val="center"/>
          </w:tcPr>
          <w:p w:rsidR="00D93FC3" w:rsidRPr="00145085" w:rsidRDefault="00D93FC3" w:rsidP="00145085">
            <w:pPr>
              <w:jc w:val="center"/>
              <w:rPr>
                <w:rFonts w:asciiTheme="minorEastAsia" w:hAnsiTheme="minorEastAsia"/>
                <w:w w:val="90"/>
                <w:sz w:val="20"/>
                <w:szCs w:val="20"/>
              </w:rPr>
            </w:pPr>
            <w:r w:rsidRPr="00145085">
              <w:rPr>
                <w:rFonts w:asciiTheme="minorEastAsia" w:hAnsiTheme="minorEastAsia" w:hint="eastAsia"/>
                <w:w w:val="90"/>
                <w:sz w:val="20"/>
                <w:szCs w:val="20"/>
              </w:rPr>
              <w:t>一部事務組合・広域連合</w:t>
            </w:r>
          </w:p>
        </w:tc>
        <w:tc>
          <w:tcPr>
            <w:tcW w:w="1533" w:type="dxa"/>
            <w:vAlign w:val="center"/>
          </w:tcPr>
          <w:p w:rsidR="00D93FC3" w:rsidRPr="00145085" w:rsidRDefault="00D93FC3" w:rsidP="00145085">
            <w:pPr>
              <w:jc w:val="center"/>
              <w:rPr>
                <w:rFonts w:asciiTheme="minorEastAsia" w:hAnsiTheme="minorEastAsia"/>
              </w:rPr>
            </w:pPr>
            <w:r w:rsidRPr="00145085">
              <w:rPr>
                <w:rFonts w:asciiTheme="minorEastAsia" w:hAnsiTheme="minorEastAsia" w:hint="eastAsia"/>
              </w:rPr>
              <w:t>比例連結</w:t>
            </w:r>
          </w:p>
        </w:tc>
        <w:tc>
          <w:tcPr>
            <w:tcW w:w="1958" w:type="dxa"/>
            <w:vAlign w:val="center"/>
          </w:tcPr>
          <w:p w:rsidR="00D93FC3" w:rsidRDefault="0042173A" w:rsidP="00145085">
            <w:pPr>
              <w:jc w:val="center"/>
            </w:pPr>
            <w:r>
              <w:rPr>
                <w:rFonts w:hint="eastAsia"/>
              </w:rPr>
              <w:t>5.14</w:t>
            </w:r>
            <w:r>
              <w:rPr>
                <w:rFonts w:hint="eastAsia"/>
              </w:rPr>
              <w:t>％</w:t>
            </w:r>
          </w:p>
        </w:tc>
      </w:tr>
      <w:tr w:rsidR="00D93FC3" w:rsidTr="008A7606">
        <w:tc>
          <w:tcPr>
            <w:tcW w:w="2802" w:type="dxa"/>
          </w:tcPr>
          <w:p w:rsidR="00D93FC3" w:rsidRDefault="00D93FC3" w:rsidP="00D93FC3">
            <w:r w:rsidRPr="0067775D">
              <w:rPr>
                <w:rFonts w:hint="eastAsia"/>
              </w:rPr>
              <w:t>神奈川県後期高齢者医療広域連合</w:t>
            </w:r>
          </w:p>
        </w:tc>
        <w:tc>
          <w:tcPr>
            <w:tcW w:w="2409" w:type="dxa"/>
            <w:vAlign w:val="center"/>
          </w:tcPr>
          <w:p w:rsidR="00D93FC3" w:rsidRPr="00145085" w:rsidRDefault="00D93FC3" w:rsidP="00145085">
            <w:pPr>
              <w:jc w:val="center"/>
              <w:rPr>
                <w:rFonts w:asciiTheme="minorEastAsia" w:hAnsiTheme="minorEastAsia"/>
                <w:w w:val="90"/>
                <w:sz w:val="20"/>
                <w:szCs w:val="20"/>
              </w:rPr>
            </w:pPr>
            <w:r w:rsidRPr="00145085">
              <w:rPr>
                <w:rFonts w:asciiTheme="minorEastAsia" w:hAnsiTheme="minorEastAsia" w:hint="eastAsia"/>
                <w:w w:val="90"/>
                <w:sz w:val="20"/>
                <w:szCs w:val="20"/>
              </w:rPr>
              <w:t>一部事務組合・広域連合</w:t>
            </w:r>
          </w:p>
        </w:tc>
        <w:tc>
          <w:tcPr>
            <w:tcW w:w="1533" w:type="dxa"/>
            <w:vAlign w:val="center"/>
          </w:tcPr>
          <w:p w:rsidR="00D93FC3" w:rsidRPr="00145085" w:rsidRDefault="00D93FC3" w:rsidP="00145085">
            <w:pPr>
              <w:jc w:val="center"/>
              <w:rPr>
                <w:rFonts w:asciiTheme="minorEastAsia" w:hAnsiTheme="minorEastAsia"/>
              </w:rPr>
            </w:pPr>
            <w:r w:rsidRPr="00145085">
              <w:rPr>
                <w:rFonts w:asciiTheme="minorEastAsia" w:hAnsiTheme="minorEastAsia" w:hint="eastAsia"/>
              </w:rPr>
              <w:t>比例連結</w:t>
            </w:r>
          </w:p>
        </w:tc>
        <w:tc>
          <w:tcPr>
            <w:tcW w:w="1958" w:type="dxa"/>
            <w:vAlign w:val="center"/>
          </w:tcPr>
          <w:p w:rsidR="00D93FC3" w:rsidRPr="00AD0DE3" w:rsidRDefault="0042173A" w:rsidP="0034588D">
            <w:pPr>
              <w:jc w:val="center"/>
            </w:pPr>
            <w:r>
              <w:rPr>
                <w:rFonts w:hint="eastAsia"/>
              </w:rPr>
              <w:t>0.7</w:t>
            </w:r>
            <w:r w:rsidR="0034588D">
              <w:rPr>
                <w:rFonts w:hint="eastAsia"/>
              </w:rPr>
              <w:t>4</w:t>
            </w:r>
            <w:bookmarkStart w:id="8" w:name="_GoBack"/>
            <w:bookmarkEnd w:id="8"/>
            <w:r>
              <w:rPr>
                <w:rFonts w:hint="eastAsia"/>
              </w:rPr>
              <w:t>％</w:t>
            </w:r>
          </w:p>
        </w:tc>
      </w:tr>
    </w:tbl>
    <w:p w:rsidR="00A6143A" w:rsidRDefault="00A6143A" w:rsidP="00804C43"/>
    <w:p w:rsidR="00804C43" w:rsidRDefault="00804C43" w:rsidP="00804C43">
      <w:r w:rsidRPr="00AD0DE3">
        <w:rPr>
          <w:rFonts w:hint="eastAsia"/>
        </w:rPr>
        <w:t>連結の方法は次のとおりです。</w:t>
      </w:r>
      <w:r w:rsidRPr="00AD0DE3">
        <w:rPr>
          <w:rFonts w:hint="eastAsia"/>
        </w:rPr>
        <w:t xml:space="preserve"> </w:t>
      </w:r>
    </w:p>
    <w:p w:rsidR="00804C43" w:rsidRPr="00D93FC3" w:rsidRDefault="00804C43" w:rsidP="00804C43">
      <w:pPr>
        <w:pStyle w:val="a3"/>
        <w:ind w:leftChars="0" w:left="780"/>
      </w:pPr>
    </w:p>
    <w:p w:rsidR="005839FA" w:rsidRDefault="00804C43" w:rsidP="0025374D">
      <w:pPr>
        <w:pStyle w:val="a3"/>
        <w:numPr>
          <w:ilvl w:val="1"/>
          <w:numId w:val="8"/>
        </w:numPr>
        <w:ind w:leftChars="0"/>
      </w:pPr>
      <w:r>
        <w:rPr>
          <w:rFonts w:hint="eastAsia"/>
        </w:rPr>
        <w:t>一部事務組合・広域連合は、各構成団体の経費負担割合等に基づき比例連結の対象としています。</w:t>
      </w:r>
    </w:p>
    <w:p w:rsidR="0042173A" w:rsidRDefault="00531B81" w:rsidP="00531B81">
      <w:pPr>
        <w:pStyle w:val="a3"/>
        <w:numPr>
          <w:ilvl w:val="1"/>
          <w:numId w:val="8"/>
        </w:numPr>
        <w:ind w:leftChars="0"/>
      </w:pPr>
      <w:r w:rsidRPr="00531B81">
        <w:rPr>
          <w:rFonts w:hint="eastAsia"/>
        </w:rPr>
        <w:t>湯河原町真鶴町衛生組合</w:t>
      </w:r>
      <w:r>
        <w:rPr>
          <w:rFonts w:hint="eastAsia"/>
        </w:rPr>
        <w:t>については</w:t>
      </w:r>
      <w:r>
        <w:rPr>
          <w:rFonts w:hint="eastAsia"/>
        </w:rPr>
        <w:t>H31</w:t>
      </w:r>
      <w:r>
        <w:rPr>
          <w:rFonts w:hint="eastAsia"/>
        </w:rPr>
        <w:t>年</w:t>
      </w:r>
      <w:r>
        <w:rPr>
          <w:rFonts w:hint="eastAsia"/>
        </w:rPr>
        <w:t>3</w:t>
      </w:r>
      <w:r>
        <w:rPr>
          <w:rFonts w:hint="eastAsia"/>
        </w:rPr>
        <w:t>月</w:t>
      </w:r>
      <w:r>
        <w:rPr>
          <w:rFonts w:hint="eastAsia"/>
        </w:rPr>
        <w:t>8</w:t>
      </w:r>
      <w:r>
        <w:rPr>
          <w:rFonts w:hint="eastAsia"/>
        </w:rPr>
        <w:t>日時点で財務四表が未完成のため、連結の対象外としています。</w:t>
      </w:r>
    </w:p>
    <w:p w:rsidR="005839FA" w:rsidRDefault="005839FA" w:rsidP="005839FA">
      <w:pPr>
        <w:pStyle w:val="a3"/>
        <w:ind w:leftChars="0" w:left="360"/>
      </w:pPr>
    </w:p>
    <w:p w:rsidR="00531B81" w:rsidRDefault="00531B81" w:rsidP="005839FA">
      <w:pPr>
        <w:pStyle w:val="a3"/>
        <w:ind w:leftChars="0" w:left="360"/>
      </w:pPr>
    </w:p>
    <w:p w:rsidR="00531B81" w:rsidRDefault="00531B81" w:rsidP="005839FA">
      <w:pPr>
        <w:pStyle w:val="a3"/>
        <w:ind w:leftChars="0" w:left="360"/>
      </w:pPr>
    </w:p>
    <w:p w:rsidR="00531B81" w:rsidRPr="00804C43" w:rsidRDefault="00531B81" w:rsidP="005839FA">
      <w:pPr>
        <w:pStyle w:val="a3"/>
        <w:ind w:leftChars="0" w:left="360"/>
      </w:pPr>
    </w:p>
    <w:p w:rsidR="008C73B6" w:rsidRDefault="008C73B6" w:rsidP="008C73B6">
      <w:pPr>
        <w:pStyle w:val="2"/>
        <w:numPr>
          <w:ilvl w:val="0"/>
          <w:numId w:val="24"/>
        </w:numPr>
      </w:pPr>
      <w:r>
        <w:rPr>
          <w:rFonts w:hint="eastAsia"/>
        </w:rPr>
        <w:lastRenderedPageBreak/>
        <w:t>出納整理期間について</w:t>
      </w:r>
    </w:p>
    <w:p w:rsidR="008C73B6" w:rsidRPr="00581DA2" w:rsidRDefault="008C73B6" w:rsidP="00836596">
      <w:pPr>
        <w:ind w:leftChars="100" w:left="210" w:firstLineChars="100" w:firstLine="210"/>
      </w:pPr>
      <w:r>
        <w:rPr>
          <w:rFonts w:hint="eastAsia"/>
        </w:rPr>
        <w:t>財務書類の作成基準日は、会計年度末（</w:t>
      </w:r>
      <w:r>
        <w:rPr>
          <w:rFonts w:hint="eastAsia"/>
        </w:rPr>
        <w:t>3</w:t>
      </w:r>
      <w:r>
        <w:rPr>
          <w:rFonts w:hint="eastAsia"/>
        </w:rPr>
        <w:t>月</w:t>
      </w:r>
      <w:r>
        <w:rPr>
          <w:rFonts w:hint="eastAsia"/>
        </w:rPr>
        <w:t>31</w:t>
      </w:r>
      <w:r>
        <w:rPr>
          <w:rFonts w:hint="eastAsia"/>
        </w:rPr>
        <w:t>日）ですが、出納整理期間中の現金の受け払い等を終了した後の計数をもって会計年度末の計数としております。（地方自治法</w:t>
      </w:r>
      <w:r>
        <w:rPr>
          <w:rFonts w:hint="eastAsia"/>
        </w:rPr>
        <w:t xml:space="preserve"> 235 </w:t>
      </w:r>
      <w:r>
        <w:rPr>
          <w:rFonts w:hint="eastAsia"/>
        </w:rPr>
        <w:t>条の</w:t>
      </w:r>
      <w:r>
        <w:rPr>
          <w:rFonts w:hint="eastAsia"/>
        </w:rPr>
        <w:t xml:space="preserve"> 5</w:t>
      </w:r>
      <w:r>
        <w:rPr>
          <w:rFonts w:hint="eastAsia"/>
        </w:rPr>
        <w:t>「普通地方公共団体の出納は、翌年度の</w:t>
      </w:r>
      <w:r>
        <w:rPr>
          <w:rFonts w:hint="eastAsia"/>
        </w:rPr>
        <w:t>5</w:t>
      </w:r>
      <w:r>
        <w:rPr>
          <w:rFonts w:hint="eastAsia"/>
        </w:rPr>
        <w:t>月</w:t>
      </w:r>
      <w:r>
        <w:rPr>
          <w:rFonts w:hint="eastAsia"/>
        </w:rPr>
        <w:t>31</w:t>
      </w:r>
      <w:r>
        <w:rPr>
          <w:rFonts w:hint="eastAsia"/>
        </w:rPr>
        <w:t>日をもって閉鎖する」）</w:t>
      </w:r>
    </w:p>
    <w:p w:rsidR="008C73B6" w:rsidRPr="003C165C" w:rsidRDefault="008C73B6" w:rsidP="003C165C"/>
    <w:p w:rsidR="00581DA2" w:rsidRDefault="00581DA2" w:rsidP="00581DA2">
      <w:pPr>
        <w:pStyle w:val="2"/>
        <w:numPr>
          <w:ilvl w:val="0"/>
          <w:numId w:val="24"/>
        </w:numPr>
      </w:pPr>
      <w:r>
        <w:rPr>
          <w:rFonts w:hint="eastAsia"/>
        </w:rPr>
        <w:t>財務書類の表示金額単位</w:t>
      </w:r>
    </w:p>
    <w:p w:rsidR="00E97939" w:rsidRDefault="00581DA2" w:rsidP="00531B81">
      <w:pPr>
        <w:ind w:left="210" w:hangingChars="100" w:hanging="210"/>
      </w:pPr>
      <w:r>
        <w:rPr>
          <w:rFonts w:hint="eastAsia"/>
        </w:rPr>
        <w:t xml:space="preserve">　</w:t>
      </w:r>
      <w:r w:rsidR="003A5980">
        <w:rPr>
          <w:rFonts w:hint="eastAsia"/>
        </w:rPr>
        <w:t xml:space="preserve">　</w:t>
      </w:r>
      <w:r>
        <w:rPr>
          <w:rFonts w:hint="eastAsia"/>
        </w:rPr>
        <w:t>記載金額は千円単位未満を四捨五入して表示しているため、合計が一致しない場合があります。</w:t>
      </w:r>
      <w:bookmarkEnd w:id="7"/>
    </w:p>
    <w:sectPr w:rsidR="00E979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2B" w:rsidRDefault="000F792B" w:rsidP="00D12695">
      <w:r>
        <w:separator/>
      </w:r>
    </w:p>
  </w:endnote>
  <w:endnote w:type="continuationSeparator" w:id="0">
    <w:p w:rsidR="000F792B" w:rsidRDefault="000F792B" w:rsidP="00D1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2B" w:rsidRDefault="000F792B" w:rsidP="00D12695">
      <w:r>
        <w:separator/>
      </w:r>
    </w:p>
  </w:footnote>
  <w:footnote w:type="continuationSeparator" w:id="0">
    <w:p w:rsidR="000F792B" w:rsidRDefault="000F792B" w:rsidP="00D12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2FD6"/>
    <w:multiLevelType w:val="hybridMultilevel"/>
    <w:tmpl w:val="B868FCE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0D0E048F"/>
    <w:multiLevelType w:val="hybridMultilevel"/>
    <w:tmpl w:val="225A2A80"/>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BB739A"/>
    <w:multiLevelType w:val="hybridMultilevel"/>
    <w:tmpl w:val="CB0632E4"/>
    <w:lvl w:ilvl="0" w:tplc="C6369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BD040B"/>
    <w:multiLevelType w:val="hybridMultilevel"/>
    <w:tmpl w:val="0CE05C9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3F0B64"/>
    <w:multiLevelType w:val="hybridMultilevel"/>
    <w:tmpl w:val="3E5CE3C4"/>
    <w:lvl w:ilvl="0" w:tplc="34087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1B41E5"/>
    <w:multiLevelType w:val="hybridMultilevel"/>
    <w:tmpl w:val="0BF05C84"/>
    <w:lvl w:ilvl="0" w:tplc="34087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5847EF"/>
    <w:multiLevelType w:val="hybridMultilevel"/>
    <w:tmpl w:val="D792BB2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5F2DA3"/>
    <w:multiLevelType w:val="hybridMultilevel"/>
    <w:tmpl w:val="F716CDEA"/>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2C32FC"/>
    <w:multiLevelType w:val="hybridMultilevel"/>
    <w:tmpl w:val="23FA7CB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AD1C5A"/>
    <w:multiLevelType w:val="hybridMultilevel"/>
    <w:tmpl w:val="D0587916"/>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2B48F4"/>
    <w:multiLevelType w:val="hybridMultilevel"/>
    <w:tmpl w:val="DEB685EC"/>
    <w:lvl w:ilvl="0" w:tplc="A8E26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566760"/>
    <w:multiLevelType w:val="hybridMultilevel"/>
    <w:tmpl w:val="2A1863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685A52"/>
    <w:multiLevelType w:val="hybridMultilevel"/>
    <w:tmpl w:val="828000AA"/>
    <w:lvl w:ilvl="0" w:tplc="A4DE568A">
      <w:start w:val="1"/>
      <w:numFmt w:val="decimal"/>
      <w:lvlText w:val="%1."/>
      <w:lvlJc w:val="left"/>
      <w:pPr>
        <w:ind w:left="420" w:hanging="420"/>
      </w:pPr>
      <w:rPr>
        <w:rFonts w:hint="eastAsia"/>
      </w:rPr>
    </w:lvl>
    <w:lvl w:ilvl="1" w:tplc="718C89E8">
      <w:start w:val="1"/>
      <w:numFmt w:val="decimalEnclosedCircle"/>
      <w:lvlText w:val="%2"/>
      <w:lvlJc w:val="left"/>
      <w:pPr>
        <w:ind w:left="780" w:hanging="360"/>
      </w:pPr>
      <w:rPr>
        <w:rFonts w:hint="default"/>
      </w:rPr>
    </w:lvl>
    <w:lvl w:ilvl="2" w:tplc="C4A6D120">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0A2D8E"/>
    <w:multiLevelType w:val="hybridMultilevel"/>
    <w:tmpl w:val="BB2E42C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BE5074D"/>
    <w:multiLevelType w:val="hybridMultilevel"/>
    <w:tmpl w:val="76E2599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E7A2258"/>
    <w:multiLevelType w:val="hybridMultilevel"/>
    <w:tmpl w:val="A800B968"/>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FDE7A8A"/>
    <w:multiLevelType w:val="hybridMultilevel"/>
    <w:tmpl w:val="B066D594"/>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0107340"/>
    <w:multiLevelType w:val="hybridMultilevel"/>
    <w:tmpl w:val="F4BA22CE"/>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CF68B7"/>
    <w:multiLevelType w:val="hybridMultilevel"/>
    <w:tmpl w:val="44E2F45A"/>
    <w:lvl w:ilvl="0" w:tplc="0409000F">
      <w:start w:val="1"/>
      <w:numFmt w:val="decimal"/>
      <w:lvlText w:val="%1."/>
      <w:lvlJc w:val="left"/>
      <w:pPr>
        <w:ind w:left="420" w:hanging="420"/>
      </w:pPr>
      <w:rPr>
        <w:rFonts w:hint="eastAsia"/>
      </w:rPr>
    </w:lvl>
    <w:lvl w:ilvl="1" w:tplc="A8E26CC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367618"/>
    <w:multiLevelType w:val="hybridMultilevel"/>
    <w:tmpl w:val="CCE4DA8C"/>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4AC23306"/>
    <w:multiLevelType w:val="hybridMultilevel"/>
    <w:tmpl w:val="FC8C3C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start w:val="1"/>
      <w:numFmt w:val="decimalEnclosedCircle"/>
      <w:lvlText w:val="%3"/>
      <w:lvlJc w:val="left"/>
      <w:pPr>
        <w:ind w:left="846"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E3B7736"/>
    <w:multiLevelType w:val="hybridMultilevel"/>
    <w:tmpl w:val="5DD63CAA"/>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17C55C6"/>
    <w:multiLevelType w:val="hybridMultilevel"/>
    <w:tmpl w:val="BF12CA02"/>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4C2611F"/>
    <w:multiLevelType w:val="hybridMultilevel"/>
    <w:tmpl w:val="27485486"/>
    <w:lvl w:ilvl="0" w:tplc="6750F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C666FF8"/>
    <w:multiLevelType w:val="hybridMultilevel"/>
    <w:tmpl w:val="FCDC4B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D9E43D3"/>
    <w:multiLevelType w:val="hybridMultilevel"/>
    <w:tmpl w:val="4486591A"/>
    <w:lvl w:ilvl="0" w:tplc="57DC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E7E60A1"/>
    <w:multiLevelType w:val="hybridMultilevel"/>
    <w:tmpl w:val="7D2ED74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66B611A"/>
    <w:multiLevelType w:val="hybridMultilevel"/>
    <w:tmpl w:val="EFF4F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6A04B58"/>
    <w:multiLevelType w:val="hybridMultilevel"/>
    <w:tmpl w:val="53F07A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nsid w:val="684F78D1"/>
    <w:multiLevelType w:val="hybridMultilevel"/>
    <w:tmpl w:val="F61E9D9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0946BE"/>
    <w:multiLevelType w:val="hybridMultilevel"/>
    <w:tmpl w:val="72660FA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nsid w:val="76904BCD"/>
    <w:multiLevelType w:val="hybridMultilevel"/>
    <w:tmpl w:val="6E10DB1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4"/>
  </w:num>
  <w:num w:numId="3">
    <w:abstractNumId w:val="2"/>
  </w:num>
  <w:num w:numId="4">
    <w:abstractNumId w:val="30"/>
  </w:num>
  <w:num w:numId="5">
    <w:abstractNumId w:val="7"/>
  </w:num>
  <w:num w:numId="6">
    <w:abstractNumId w:val="27"/>
  </w:num>
  <w:num w:numId="7">
    <w:abstractNumId w:val="32"/>
  </w:num>
  <w:num w:numId="8">
    <w:abstractNumId w:val="19"/>
  </w:num>
  <w:num w:numId="9">
    <w:abstractNumId w:val="3"/>
  </w:num>
  <w:num w:numId="10">
    <w:abstractNumId w:val="13"/>
  </w:num>
  <w:num w:numId="11">
    <w:abstractNumId w:val="22"/>
  </w:num>
  <w:num w:numId="12">
    <w:abstractNumId w:val="1"/>
  </w:num>
  <w:num w:numId="13">
    <w:abstractNumId w:val="23"/>
  </w:num>
  <w:num w:numId="14">
    <w:abstractNumId w:val="8"/>
  </w:num>
  <w:num w:numId="15">
    <w:abstractNumId w:val="10"/>
  </w:num>
  <w:num w:numId="16">
    <w:abstractNumId w:val="20"/>
  </w:num>
  <w:num w:numId="17">
    <w:abstractNumId w:val="16"/>
  </w:num>
  <w:num w:numId="18">
    <w:abstractNumId w:val="21"/>
  </w:num>
  <w:num w:numId="19">
    <w:abstractNumId w:val="15"/>
  </w:num>
  <w:num w:numId="20">
    <w:abstractNumId w:val="14"/>
  </w:num>
  <w:num w:numId="21">
    <w:abstractNumId w:val="0"/>
  </w:num>
  <w:num w:numId="22">
    <w:abstractNumId w:val="31"/>
  </w:num>
  <w:num w:numId="23">
    <w:abstractNumId w:val="18"/>
  </w:num>
  <w:num w:numId="24">
    <w:abstractNumId w:val="5"/>
  </w:num>
  <w:num w:numId="25">
    <w:abstractNumId w:val="25"/>
  </w:num>
  <w:num w:numId="26">
    <w:abstractNumId w:val="6"/>
  </w:num>
  <w:num w:numId="27">
    <w:abstractNumId w:val="4"/>
  </w:num>
  <w:num w:numId="28">
    <w:abstractNumId w:val="12"/>
  </w:num>
  <w:num w:numId="29">
    <w:abstractNumId w:val="28"/>
  </w:num>
  <w:num w:numId="30">
    <w:abstractNumId w:val="9"/>
  </w:num>
  <w:num w:numId="31">
    <w:abstractNumId w:val="1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C8"/>
    <w:rsid w:val="000029EA"/>
    <w:rsid w:val="0004581A"/>
    <w:rsid w:val="0004679E"/>
    <w:rsid w:val="000804CF"/>
    <w:rsid w:val="000B0468"/>
    <w:rsid w:val="000E1FAE"/>
    <w:rsid w:val="000F792B"/>
    <w:rsid w:val="00127924"/>
    <w:rsid w:val="00145085"/>
    <w:rsid w:val="001B14CE"/>
    <w:rsid w:val="001F5669"/>
    <w:rsid w:val="002362CE"/>
    <w:rsid w:val="0025374D"/>
    <w:rsid w:val="0026039D"/>
    <w:rsid w:val="002A11D5"/>
    <w:rsid w:val="002D39EF"/>
    <w:rsid w:val="003079F6"/>
    <w:rsid w:val="00312C26"/>
    <w:rsid w:val="00313A27"/>
    <w:rsid w:val="00332E72"/>
    <w:rsid w:val="0034588D"/>
    <w:rsid w:val="0034764C"/>
    <w:rsid w:val="003552EC"/>
    <w:rsid w:val="00366C79"/>
    <w:rsid w:val="00373A55"/>
    <w:rsid w:val="003929B0"/>
    <w:rsid w:val="00393CD5"/>
    <w:rsid w:val="003A5980"/>
    <w:rsid w:val="003C165C"/>
    <w:rsid w:val="00414A3F"/>
    <w:rsid w:val="0042173A"/>
    <w:rsid w:val="004A2A55"/>
    <w:rsid w:val="004B0911"/>
    <w:rsid w:val="004D40C8"/>
    <w:rsid w:val="00513010"/>
    <w:rsid w:val="005246E1"/>
    <w:rsid w:val="00531B81"/>
    <w:rsid w:val="0055328A"/>
    <w:rsid w:val="00563876"/>
    <w:rsid w:val="005750C8"/>
    <w:rsid w:val="00581DA2"/>
    <w:rsid w:val="005839FA"/>
    <w:rsid w:val="005D5351"/>
    <w:rsid w:val="00612899"/>
    <w:rsid w:val="00617A7B"/>
    <w:rsid w:val="006269DC"/>
    <w:rsid w:val="0063358A"/>
    <w:rsid w:val="00676C71"/>
    <w:rsid w:val="00682AAA"/>
    <w:rsid w:val="0069226D"/>
    <w:rsid w:val="006A60C1"/>
    <w:rsid w:val="006B3DD2"/>
    <w:rsid w:val="006C4BBD"/>
    <w:rsid w:val="006E2514"/>
    <w:rsid w:val="006F69EB"/>
    <w:rsid w:val="006F6F32"/>
    <w:rsid w:val="0072450F"/>
    <w:rsid w:val="0074211E"/>
    <w:rsid w:val="00804C43"/>
    <w:rsid w:val="0081253D"/>
    <w:rsid w:val="00836596"/>
    <w:rsid w:val="0086627C"/>
    <w:rsid w:val="008754C6"/>
    <w:rsid w:val="00895391"/>
    <w:rsid w:val="008C1A10"/>
    <w:rsid w:val="008C73B6"/>
    <w:rsid w:val="008D20F3"/>
    <w:rsid w:val="009242E9"/>
    <w:rsid w:val="00956D45"/>
    <w:rsid w:val="009811A1"/>
    <w:rsid w:val="009F6142"/>
    <w:rsid w:val="00A05DE8"/>
    <w:rsid w:val="00A161D8"/>
    <w:rsid w:val="00A47516"/>
    <w:rsid w:val="00A47B70"/>
    <w:rsid w:val="00A6143A"/>
    <w:rsid w:val="00A70A72"/>
    <w:rsid w:val="00A77FA6"/>
    <w:rsid w:val="00B13030"/>
    <w:rsid w:val="00B82015"/>
    <w:rsid w:val="00B85E15"/>
    <w:rsid w:val="00BC3536"/>
    <w:rsid w:val="00BE3EA0"/>
    <w:rsid w:val="00C106D6"/>
    <w:rsid w:val="00C67F2C"/>
    <w:rsid w:val="00C950F2"/>
    <w:rsid w:val="00CA19FB"/>
    <w:rsid w:val="00CC2416"/>
    <w:rsid w:val="00CF2679"/>
    <w:rsid w:val="00D12695"/>
    <w:rsid w:val="00D26A9D"/>
    <w:rsid w:val="00D334D5"/>
    <w:rsid w:val="00D52844"/>
    <w:rsid w:val="00D60B61"/>
    <w:rsid w:val="00D93FC3"/>
    <w:rsid w:val="00D9470A"/>
    <w:rsid w:val="00DE03A8"/>
    <w:rsid w:val="00E52C51"/>
    <w:rsid w:val="00E623FD"/>
    <w:rsid w:val="00E91522"/>
    <w:rsid w:val="00E97939"/>
    <w:rsid w:val="00F3069C"/>
    <w:rsid w:val="00F82CED"/>
    <w:rsid w:val="00FB564E"/>
    <w:rsid w:val="00FC4758"/>
    <w:rsid w:val="00FD6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28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28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A27"/>
    <w:pPr>
      <w:ind w:leftChars="400" w:left="840"/>
    </w:pPr>
  </w:style>
  <w:style w:type="character" w:customStyle="1" w:styleId="10">
    <w:name w:val="見出し 1 (文字)"/>
    <w:basedOn w:val="a0"/>
    <w:link w:val="1"/>
    <w:uiPriority w:val="9"/>
    <w:rsid w:val="00D52844"/>
    <w:rPr>
      <w:rFonts w:asciiTheme="majorHAnsi" w:eastAsiaTheme="majorEastAsia" w:hAnsiTheme="majorHAnsi" w:cstheme="majorBidi"/>
      <w:sz w:val="24"/>
      <w:szCs w:val="24"/>
    </w:rPr>
  </w:style>
  <w:style w:type="character" w:customStyle="1" w:styleId="20">
    <w:name w:val="見出し 2 (文字)"/>
    <w:basedOn w:val="a0"/>
    <w:link w:val="2"/>
    <w:uiPriority w:val="9"/>
    <w:rsid w:val="00D52844"/>
    <w:rPr>
      <w:rFonts w:asciiTheme="majorHAnsi" w:eastAsiaTheme="majorEastAsia" w:hAnsiTheme="majorHAnsi" w:cstheme="majorBidi"/>
    </w:rPr>
  </w:style>
  <w:style w:type="paragraph" w:styleId="21">
    <w:name w:val="toc 2"/>
    <w:basedOn w:val="a"/>
    <w:next w:val="a"/>
    <w:autoRedefine/>
    <w:uiPriority w:val="39"/>
    <w:unhideWhenUsed/>
    <w:rsid w:val="00D52844"/>
    <w:pPr>
      <w:ind w:leftChars="100" w:left="210"/>
    </w:pPr>
  </w:style>
  <w:style w:type="character" w:styleId="a4">
    <w:name w:val="Hyperlink"/>
    <w:basedOn w:val="a0"/>
    <w:uiPriority w:val="99"/>
    <w:unhideWhenUsed/>
    <w:rsid w:val="00D52844"/>
    <w:rPr>
      <w:color w:val="0563C1" w:themeColor="hyperlink"/>
      <w:u w:val="single"/>
    </w:rPr>
  </w:style>
  <w:style w:type="paragraph" w:styleId="11">
    <w:name w:val="toc 1"/>
    <w:basedOn w:val="a"/>
    <w:next w:val="a"/>
    <w:autoRedefine/>
    <w:uiPriority w:val="39"/>
    <w:unhideWhenUsed/>
    <w:rsid w:val="00B13030"/>
  </w:style>
  <w:style w:type="paragraph" w:styleId="a5">
    <w:name w:val="header"/>
    <w:basedOn w:val="a"/>
    <w:link w:val="a6"/>
    <w:uiPriority w:val="99"/>
    <w:unhideWhenUsed/>
    <w:rsid w:val="00D12695"/>
    <w:pPr>
      <w:tabs>
        <w:tab w:val="center" w:pos="4252"/>
        <w:tab w:val="right" w:pos="8504"/>
      </w:tabs>
      <w:snapToGrid w:val="0"/>
    </w:pPr>
  </w:style>
  <w:style w:type="character" w:customStyle="1" w:styleId="a6">
    <w:name w:val="ヘッダー (文字)"/>
    <w:basedOn w:val="a0"/>
    <w:link w:val="a5"/>
    <w:uiPriority w:val="99"/>
    <w:rsid w:val="00D12695"/>
  </w:style>
  <w:style w:type="paragraph" w:styleId="a7">
    <w:name w:val="footer"/>
    <w:basedOn w:val="a"/>
    <w:link w:val="a8"/>
    <w:uiPriority w:val="99"/>
    <w:unhideWhenUsed/>
    <w:rsid w:val="00D12695"/>
    <w:pPr>
      <w:tabs>
        <w:tab w:val="center" w:pos="4252"/>
        <w:tab w:val="right" w:pos="8504"/>
      </w:tabs>
      <w:snapToGrid w:val="0"/>
    </w:pPr>
  </w:style>
  <w:style w:type="character" w:customStyle="1" w:styleId="a8">
    <w:name w:val="フッター (文字)"/>
    <w:basedOn w:val="a0"/>
    <w:link w:val="a7"/>
    <w:uiPriority w:val="99"/>
    <w:rsid w:val="00D12695"/>
  </w:style>
  <w:style w:type="table" w:styleId="a9">
    <w:name w:val="Table Grid"/>
    <w:basedOn w:val="a1"/>
    <w:uiPriority w:val="39"/>
    <w:rsid w:val="00355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1D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1D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28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28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A27"/>
    <w:pPr>
      <w:ind w:leftChars="400" w:left="840"/>
    </w:pPr>
  </w:style>
  <w:style w:type="character" w:customStyle="1" w:styleId="10">
    <w:name w:val="見出し 1 (文字)"/>
    <w:basedOn w:val="a0"/>
    <w:link w:val="1"/>
    <w:uiPriority w:val="9"/>
    <w:rsid w:val="00D52844"/>
    <w:rPr>
      <w:rFonts w:asciiTheme="majorHAnsi" w:eastAsiaTheme="majorEastAsia" w:hAnsiTheme="majorHAnsi" w:cstheme="majorBidi"/>
      <w:sz w:val="24"/>
      <w:szCs w:val="24"/>
    </w:rPr>
  </w:style>
  <w:style w:type="character" w:customStyle="1" w:styleId="20">
    <w:name w:val="見出し 2 (文字)"/>
    <w:basedOn w:val="a0"/>
    <w:link w:val="2"/>
    <w:uiPriority w:val="9"/>
    <w:rsid w:val="00D52844"/>
    <w:rPr>
      <w:rFonts w:asciiTheme="majorHAnsi" w:eastAsiaTheme="majorEastAsia" w:hAnsiTheme="majorHAnsi" w:cstheme="majorBidi"/>
    </w:rPr>
  </w:style>
  <w:style w:type="paragraph" w:styleId="21">
    <w:name w:val="toc 2"/>
    <w:basedOn w:val="a"/>
    <w:next w:val="a"/>
    <w:autoRedefine/>
    <w:uiPriority w:val="39"/>
    <w:unhideWhenUsed/>
    <w:rsid w:val="00D52844"/>
    <w:pPr>
      <w:ind w:leftChars="100" w:left="210"/>
    </w:pPr>
  </w:style>
  <w:style w:type="character" w:styleId="a4">
    <w:name w:val="Hyperlink"/>
    <w:basedOn w:val="a0"/>
    <w:uiPriority w:val="99"/>
    <w:unhideWhenUsed/>
    <w:rsid w:val="00D52844"/>
    <w:rPr>
      <w:color w:val="0563C1" w:themeColor="hyperlink"/>
      <w:u w:val="single"/>
    </w:rPr>
  </w:style>
  <w:style w:type="paragraph" w:styleId="11">
    <w:name w:val="toc 1"/>
    <w:basedOn w:val="a"/>
    <w:next w:val="a"/>
    <w:autoRedefine/>
    <w:uiPriority w:val="39"/>
    <w:unhideWhenUsed/>
    <w:rsid w:val="00B13030"/>
  </w:style>
  <w:style w:type="paragraph" w:styleId="a5">
    <w:name w:val="header"/>
    <w:basedOn w:val="a"/>
    <w:link w:val="a6"/>
    <w:uiPriority w:val="99"/>
    <w:unhideWhenUsed/>
    <w:rsid w:val="00D12695"/>
    <w:pPr>
      <w:tabs>
        <w:tab w:val="center" w:pos="4252"/>
        <w:tab w:val="right" w:pos="8504"/>
      </w:tabs>
      <w:snapToGrid w:val="0"/>
    </w:pPr>
  </w:style>
  <w:style w:type="character" w:customStyle="1" w:styleId="a6">
    <w:name w:val="ヘッダー (文字)"/>
    <w:basedOn w:val="a0"/>
    <w:link w:val="a5"/>
    <w:uiPriority w:val="99"/>
    <w:rsid w:val="00D12695"/>
  </w:style>
  <w:style w:type="paragraph" w:styleId="a7">
    <w:name w:val="footer"/>
    <w:basedOn w:val="a"/>
    <w:link w:val="a8"/>
    <w:uiPriority w:val="99"/>
    <w:unhideWhenUsed/>
    <w:rsid w:val="00D12695"/>
    <w:pPr>
      <w:tabs>
        <w:tab w:val="center" w:pos="4252"/>
        <w:tab w:val="right" w:pos="8504"/>
      </w:tabs>
      <w:snapToGrid w:val="0"/>
    </w:pPr>
  </w:style>
  <w:style w:type="character" w:customStyle="1" w:styleId="a8">
    <w:name w:val="フッター (文字)"/>
    <w:basedOn w:val="a0"/>
    <w:link w:val="a7"/>
    <w:uiPriority w:val="99"/>
    <w:rsid w:val="00D12695"/>
  </w:style>
  <w:style w:type="table" w:styleId="a9">
    <w:name w:val="Table Grid"/>
    <w:basedOn w:val="a1"/>
    <w:uiPriority w:val="39"/>
    <w:rsid w:val="00355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81D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1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932953">
      <w:bodyDiv w:val="1"/>
      <w:marLeft w:val="0"/>
      <w:marRight w:val="0"/>
      <w:marTop w:val="0"/>
      <w:marBottom w:val="0"/>
      <w:divBdr>
        <w:top w:val="none" w:sz="0" w:space="0" w:color="auto"/>
        <w:left w:val="none" w:sz="0" w:space="0" w:color="auto"/>
        <w:bottom w:val="none" w:sz="0" w:space="0" w:color="auto"/>
        <w:right w:val="none" w:sz="0" w:space="0" w:color="auto"/>
      </w:divBdr>
    </w:div>
    <w:div w:id="18319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4CE9-E9D1-4CFA-A794-A9A881C9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st3121</dc:creator>
  <cp:lastModifiedBy>user</cp:lastModifiedBy>
  <cp:revision>7</cp:revision>
  <cp:lastPrinted>2018-03-05T11:38:00Z</cp:lastPrinted>
  <dcterms:created xsi:type="dcterms:W3CDTF">2018-03-12T05:52:00Z</dcterms:created>
  <dcterms:modified xsi:type="dcterms:W3CDTF">2019-03-04T05:11:00Z</dcterms:modified>
</cp:coreProperties>
</file>